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0" w:leftChars="0" w:right="-17" w:hanging="5" w:firstLineChars="0"/>
        <w:jc w:val="center"/>
        <w:rPr>
          <w:rFonts w:ascii="Arial" w:hAnsi="Arial" w:cs="Arial"/>
          <w:b/>
        </w:rPr>
      </w:pPr>
      <w:bookmarkStart w:id="0" w:name="_Hlk142658039"/>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77EBF7D">
      <w:pPr>
        <w:ind w:left="426" w:right="-17"/>
        <w:jc w:val="center"/>
        <w:rPr>
          <w:rFonts w:ascii="Arial" w:hAnsi="Arial" w:cs="Arial"/>
          <w:b/>
        </w:rPr>
      </w:pPr>
    </w:p>
    <w:p w14:paraId="2AB63220">
      <w:pPr>
        <w:ind w:left="4253" w:right="-17"/>
        <w:jc w:val="both"/>
        <w:rPr>
          <w:rFonts w:ascii="Arial" w:hAnsi="Arial" w:cs="Arial"/>
          <w:b/>
        </w:rPr>
      </w:pPr>
      <w:bookmarkStart w:id="15" w:name="_GoBack"/>
      <w:bookmarkEnd w:id="15"/>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2.412/2026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90.036/2026</w:t>
      </w:r>
      <w:r>
        <w:rPr>
          <w:rFonts w:ascii="Arial" w:hAnsi="Arial" w:cs="Arial"/>
          <w:sz w:val="22"/>
          <w:szCs w:val="22"/>
        </w:rPr>
        <w:t>, mediante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360" w:lineRule="auto"/>
        <w:ind w:left="0" w:firstLine="0"/>
        <w:jc w:val="both"/>
        <w:rPr>
          <w:rFonts w:ascii="Arial" w:hAnsi="Arial" w:cs="Arial"/>
          <w:bCs/>
          <w:iCs/>
        </w:rPr>
      </w:pPr>
      <w:r>
        <w:rPr>
          <w:rFonts w:ascii="Arial" w:hAnsi="Arial" w:cs="Arial"/>
          <w:bCs/>
          <w:iCs/>
        </w:rPr>
        <w:t xml:space="preserve"> O objeto do presente instrumento é a</w:t>
      </w:r>
      <w:r>
        <w:rPr>
          <w:rFonts w:hint="default" w:ascii="Arial" w:hAnsi="Arial" w:cs="Arial"/>
          <w:bCs/>
          <w:iCs/>
          <w:lang w:val="pt-BR"/>
        </w:rPr>
        <w:t xml:space="preserve"> </w:t>
      </w:r>
      <w:r>
        <w:rPr>
          <w:rFonts w:ascii="Arial" w:hAnsi="Arial" w:cs="Arial"/>
          <w:b/>
          <w:bCs w:val="0"/>
          <w:iCs/>
          <w:lang w:val="pt-BR" w:eastAsia="pt-BR"/>
        </w:rPr>
        <w:t>AQUISIÇÃO DE DIÓXIDO DE CARBONO MEDICINAL (CO₂), PARA ATENDIMENTO DAS NECESSIDADES DO HOSPITAL MUNICIPAL RAUL SERTÃ</w:t>
      </w:r>
      <w:r>
        <w:rPr>
          <w:rFonts w:ascii="Arial" w:hAnsi="Arial" w:cs="Arial"/>
          <w:b/>
          <w:bCs w:val="0"/>
          <w:iCs/>
        </w:rPr>
        <w:t xml:space="preserve">, </w:t>
      </w:r>
      <w:r>
        <w:rPr>
          <w:rFonts w:ascii="Arial" w:hAnsi="Arial" w:cs="Arial"/>
          <w:b w:val="0"/>
          <w:bCs/>
          <w:iCs/>
        </w:rPr>
        <w:t>n</w:t>
      </w:r>
      <w:r>
        <w:rPr>
          <w:rFonts w:ascii="Arial" w:hAnsi="Arial" w:cs="Arial"/>
          <w:bCs/>
          <w:iCs/>
        </w:rPr>
        <w:t>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30E3A394">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68894C8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14:paraId="4238567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14:paraId="27B1858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14:paraId="605D55A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14:paraId="77ABC2E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14:paraId="3B7C54EB">
      <w:pPr>
        <w:pStyle w:val="19"/>
        <w:widowControl/>
        <w:tabs>
          <w:tab w:val="left" w:pos="426"/>
        </w:tabs>
        <w:autoSpaceDE/>
        <w:autoSpaceDN/>
        <w:spacing w:before="120" w:after="120" w:line="276" w:lineRule="auto"/>
        <w:ind w:left="0"/>
        <w:jc w:val="both"/>
        <w:rPr>
          <w:rFonts w:ascii="Arial" w:hAnsi="Arial" w:cs="Arial"/>
          <w:bCs/>
          <w:iCs/>
          <w:color w:val="FF0000"/>
        </w:rPr>
      </w:pPr>
    </w:p>
    <w:p w14:paraId="0FC100C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4ADEFAFB">
      <w:pPr>
        <w:spacing w:line="323" w:lineRule="atLeast"/>
        <w:jc w:val="both"/>
        <w:rPr>
          <w:rFonts w:ascii="Arial" w:hAnsi="Arial" w:eastAsia="Verdana" w:cs="Arial"/>
          <w:bCs/>
          <w:iCs/>
          <w:sz w:val="22"/>
          <w:szCs w:val="22"/>
          <w:u w:val="single"/>
          <w:lang w:val="pt-PT" w:eastAsia="en-US" w:bidi="ar-SA"/>
        </w:rPr>
      </w:pPr>
      <w:r>
        <w:rPr>
          <w:rFonts w:hint="default" w:ascii="Arial" w:hAnsi="Arial" w:eastAsia="Verdana" w:cs="Arial"/>
          <w:bCs/>
          <w:iCs/>
          <w:sz w:val="22"/>
          <w:szCs w:val="22"/>
          <w:lang w:val="pt-BR" w:eastAsia="en-US" w:bidi="ar-SA"/>
        </w:rPr>
        <w:t>3.1</w:t>
      </w:r>
      <w:r>
        <w:rPr>
          <w:rFonts w:hint="default" w:ascii="Arial" w:hAnsi="Arial" w:eastAsia="Verdana" w:cs="Arial"/>
          <w:bCs/>
          <w:iCs/>
          <w:sz w:val="22"/>
          <w:szCs w:val="22"/>
          <w:u w:val="single"/>
          <w:lang w:val="pt-BR" w:eastAsia="en-US" w:bidi="ar-SA"/>
        </w:rPr>
        <w:t xml:space="preserve"> </w:t>
      </w:r>
      <w:r>
        <w:rPr>
          <w:rFonts w:ascii="Arial" w:hAnsi="Arial" w:eastAsia="Verdana" w:cs="Arial"/>
          <w:bCs/>
          <w:iCs/>
          <w:sz w:val="22"/>
          <w:szCs w:val="22"/>
          <w:u w:val="single"/>
          <w:lang w:val="pt-PT" w:eastAsia="en-US" w:bidi="ar-SA"/>
        </w:rPr>
        <w:t>EXECUÇÃO CONTRATUAL</w:t>
      </w:r>
    </w:p>
    <w:p w14:paraId="6A0738F4">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w:t>
      </w:r>
      <w:r>
        <w:rPr>
          <w:rFonts w:ascii="Arial" w:hAnsi="Arial" w:eastAsia="Verdana" w:cs="Arial"/>
          <w:bCs/>
          <w:iCs/>
          <w:sz w:val="22"/>
          <w:szCs w:val="22"/>
          <w:lang w:val="pt-PT" w:eastAsia="en-US" w:bidi="ar-SA"/>
        </w:rPr>
        <w:t>.1.</w:t>
      </w:r>
      <w:r>
        <w:rPr>
          <w:rFonts w:hint="default" w:ascii="Arial" w:hAnsi="Arial" w:cs="Arial"/>
          <w:bCs/>
          <w:iCs/>
          <w:sz w:val="22"/>
          <w:szCs w:val="22"/>
          <w:lang w:val="pt-BR" w:eastAsia="en-US" w:bidi="ar-SA"/>
        </w:rPr>
        <w:t>1.</w:t>
      </w:r>
      <w:r>
        <w:rPr>
          <w:rFonts w:ascii="Arial" w:hAnsi="Arial" w:eastAsia="Verdana" w:cs="Arial"/>
          <w:bCs/>
          <w:iCs/>
          <w:sz w:val="22"/>
          <w:szCs w:val="22"/>
          <w:lang w:val="pt-PT" w:eastAsia="en-US" w:bidi="ar-SA"/>
        </w:rPr>
        <w:t xml:space="preserve"> O prazo de entrega do objeto é de no máximo 15 (quinze) dias úteis, contados a partir do recebimento da nota de empenho, sob demanda, conforme conveniência e necessidade da unidade requisitante;</w:t>
      </w:r>
    </w:p>
    <w:p w14:paraId="302A7F54">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w:t>
      </w:r>
      <w:r>
        <w:rPr>
          <w:rFonts w:ascii="Arial" w:hAnsi="Arial" w:eastAsia="Verdana" w:cs="Arial"/>
          <w:bCs/>
          <w:iCs/>
          <w:sz w:val="22"/>
          <w:szCs w:val="22"/>
          <w:lang w:val="pt-PT" w:eastAsia="en-US" w:bidi="ar-SA"/>
        </w:rPr>
        <w:t>.</w:t>
      </w:r>
      <w:r>
        <w:rPr>
          <w:rFonts w:hint="default" w:ascii="Arial" w:hAnsi="Arial" w:cs="Arial"/>
          <w:bCs/>
          <w:iCs/>
          <w:sz w:val="22"/>
          <w:szCs w:val="22"/>
          <w:lang w:val="pt-BR" w:eastAsia="en-US" w:bidi="ar-SA"/>
        </w:rPr>
        <w:t>1.</w:t>
      </w:r>
      <w:r>
        <w:rPr>
          <w:rFonts w:ascii="Arial" w:hAnsi="Arial" w:eastAsia="Verdana" w:cs="Arial"/>
          <w:bCs/>
          <w:iCs/>
          <w:sz w:val="22"/>
          <w:szCs w:val="22"/>
          <w:lang w:val="pt-PT" w:eastAsia="en-US" w:bidi="ar-SA"/>
        </w:rPr>
        <w:t>2. Caso não seja possível a entrega na data assinalada, a empresa deverá comunicar as razões respectivas com pelo menos 5 (cinco) dias úteis de antecedência para que qualquer pleito de prorrogação de prazo seja analisado, ressalvadas situações de caso fortuito e força maior;</w:t>
      </w:r>
    </w:p>
    <w:p w14:paraId="296F9A62">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.3. A Contratada deverá proceder com a entrega do objeto no local e horário mencionados abaixo:</w:t>
      </w:r>
    </w:p>
    <w:p w14:paraId="38E1D68A">
      <w:pPr>
        <w:spacing w:line="276" w:lineRule="auto"/>
        <w:ind w:left="0" w:leftChars="0" w:firstLine="0" w:firstLineChars="0"/>
        <w:jc w:val="both"/>
        <w:rPr>
          <w:rFonts w:ascii="Arial" w:hAnsi="Arial" w:eastAsia="Verdana" w:cs="Arial"/>
          <w:b/>
          <w:bCs w:val="0"/>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.3.1.</w:t>
      </w:r>
      <w:r>
        <w:rPr>
          <w:rFonts w:ascii="Arial" w:hAnsi="Arial" w:eastAsia="Verdana" w:cs="Arial"/>
          <w:b/>
          <w:bCs w:val="0"/>
          <w:iCs/>
          <w:sz w:val="22"/>
          <w:szCs w:val="22"/>
          <w:lang w:val="pt-PT" w:eastAsia="en-US" w:bidi="ar-SA"/>
        </w:rPr>
        <w:t xml:space="preserve"> Hospital Municipal Raul Sertã: Rua General Osório, 324 – Centro – Nova Friburgo/RJ </w:t>
      </w:r>
      <w:r>
        <w:rPr>
          <w:rFonts w:hint="default" w:ascii="Arial" w:hAnsi="Arial" w:cs="Arial"/>
          <w:b/>
          <w:bCs w:val="0"/>
          <w:iCs/>
          <w:sz w:val="22"/>
          <w:szCs w:val="22"/>
          <w:lang w:val="pt-BR" w:eastAsia="en-US" w:bidi="ar-SA"/>
        </w:rPr>
        <w:t xml:space="preserve">- </w:t>
      </w:r>
      <w:r>
        <w:rPr>
          <w:rFonts w:ascii="Arial" w:hAnsi="Arial" w:eastAsia="Verdana" w:cs="Arial"/>
          <w:b/>
          <w:bCs w:val="0"/>
          <w:iCs/>
          <w:sz w:val="22"/>
          <w:szCs w:val="22"/>
          <w:lang w:val="pt-PT" w:eastAsia="en-US" w:bidi="ar-SA"/>
        </w:rPr>
        <w:t>De segunda-feira a sexta-feira, no horário de 09:00h às 16:00h;</w:t>
      </w:r>
    </w:p>
    <w:p w14:paraId="5E27BDEC">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.4. Os materiais serão recebidos provisoriamente, de forma sumária, no prazo de 2 (dois) dias úteis, pelo(a) responsável pelo acompanhamento e fiscalização do contrato, para efeito de posterior verificação de sua conformidade com as especificações constantes n</w:t>
      </w:r>
      <w:r>
        <w:rPr>
          <w:rFonts w:hint="default" w:ascii="Arial" w:hAnsi="Arial" w:cs="Arial"/>
          <w:bCs/>
          <w:iCs/>
          <w:sz w:val="22"/>
          <w:szCs w:val="22"/>
          <w:lang w:val="pt-BR" w:eastAsia="en-US" w:bidi="ar-SA"/>
        </w:rPr>
        <w:t>o</w:t>
      </w:r>
      <w:r>
        <w:rPr>
          <w:rFonts w:ascii="Arial" w:hAnsi="Arial" w:eastAsia="Verdana" w:cs="Arial"/>
          <w:bCs/>
          <w:iCs/>
          <w:sz w:val="22"/>
          <w:szCs w:val="22"/>
          <w:lang w:val="pt-PT" w:eastAsia="en-US" w:bidi="ar-SA"/>
        </w:rPr>
        <w:t xml:space="preserve"> Termo de Referência e na proposta;</w:t>
      </w:r>
    </w:p>
    <w:p w14:paraId="6DA97540">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.5. Os materiais poderão ser rejeitados, no todo ou em parte, quando em desacordo com as especificações constantes n</w:t>
      </w:r>
      <w:r>
        <w:rPr>
          <w:rFonts w:hint="default" w:ascii="Arial" w:hAnsi="Arial" w:cs="Arial"/>
          <w:bCs/>
          <w:iCs/>
          <w:sz w:val="22"/>
          <w:szCs w:val="22"/>
          <w:lang w:val="pt-BR" w:eastAsia="en-US" w:bidi="ar-SA"/>
        </w:rPr>
        <w:t>o</w:t>
      </w:r>
      <w:r>
        <w:rPr>
          <w:rFonts w:ascii="Arial" w:hAnsi="Arial" w:eastAsia="Verdana" w:cs="Arial"/>
          <w:bCs/>
          <w:iCs/>
          <w:sz w:val="22"/>
          <w:szCs w:val="22"/>
          <w:lang w:val="pt-PT" w:eastAsia="en-US" w:bidi="ar-SA"/>
        </w:rPr>
        <w:t xml:space="preserve"> Termo de Referência e na proposta, devendo ser substituídos no prazo de 3 (três) dias úteis, a contar da notificação da contratada, às suas custas, sem prejuízo da aplicação das penalidades;</w:t>
      </w:r>
    </w:p>
    <w:p w14:paraId="48C13ECA">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.6. Os materiais serão recebidos definitivamente no prazo de 2 (dois) dias úteis, contados do recebimento provisório, após a verificação da qualidade e quantidade do material e consequente aceitação mediante termo detalhado;</w:t>
      </w:r>
    </w:p>
    <w:p w14:paraId="6A5E09F5">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.7. Na hipótese de a verificação a que se refere o subitem anterior não ser procedida dentro do prazo fixado, reputar-se-á como realizada, consumando-se o recebimento definitivo no dia do esgotamento do prazo;</w:t>
      </w:r>
    </w:p>
    <w:p w14:paraId="0338C0E8">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 O recebimento provisório ou definitivo não excluirá a responsabilidade civil pela solidez e pela segurança do serviço nem a responsabilidade ético-profissional pela perfeita execução do contrato;</w:t>
      </w:r>
    </w:p>
    <w:p w14:paraId="33EB0474">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.9. Não cabe para o objeto do presente, prazo de garantia contratual dos bens, complementar à garantia legal.</w:t>
      </w:r>
    </w:p>
    <w:p w14:paraId="5A16AFAE">
      <w:pPr>
        <w:spacing w:line="323" w:lineRule="atLeast"/>
        <w:jc w:val="both"/>
        <w:rPr>
          <w:rFonts w:ascii="Calibri" w:hAnsi="Calibri" w:cs="Calibri"/>
        </w:rPr>
      </w:pPr>
    </w:p>
    <w:p w14:paraId="335E8260">
      <w:pPr>
        <w:spacing w:line="323" w:lineRule="atLeast"/>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3.2 </w:t>
      </w:r>
      <w:r>
        <w:rPr>
          <w:rFonts w:ascii="Arial" w:hAnsi="Arial" w:eastAsia="Verdana" w:cs="Arial"/>
          <w:bCs/>
          <w:iCs/>
          <w:sz w:val="22"/>
          <w:szCs w:val="22"/>
          <w:u w:val="single"/>
          <w:lang w:val="pt-PT" w:eastAsia="en-US" w:bidi="ar-SA"/>
        </w:rPr>
        <w:t>GESTÃO DO CONTRATO</w:t>
      </w:r>
    </w:p>
    <w:p w14:paraId="14CA82B2">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w:t>
      </w:r>
      <w:r>
        <w:rPr>
          <w:rFonts w:ascii="Arial" w:hAnsi="Arial" w:eastAsia="Verdana" w:cs="Arial"/>
          <w:bCs/>
          <w:iCs/>
          <w:sz w:val="22"/>
          <w:szCs w:val="22"/>
          <w:lang w:val="pt-PT" w:eastAsia="en-US" w:bidi="ar-SA"/>
        </w:rPr>
        <w:t>.1. O contrato deverá ser executado fielmente pelas partes, de acordo com as cláusulas avençadas e as normas da Lei nº 14.133, de 2021, e cada parte responderá pelas consequências de sua inexecução total ou parcial (Lei nº 14.133/2021, art. 115, caput);</w:t>
      </w:r>
    </w:p>
    <w:p w14:paraId="239A28C1">
      <w:pPr>
        <w:spacing w:line="323" w:lineRule="atLeast"/>
        <w:ind w:left="0" w:leftChars="0" w:firstLine="0" w:firstLineChars="0"/>
        <w:jc w:val="both"/>
        <w:rPr>
          <w:rFonts w:ascii="Arial" w:hAnsi="Arial" w:eastAsia="Verdana" w:cs="Arial"/>
          <w:bCs/>
          <w:iCs/>
          <w:sz w:val="22"/>
          <w:szCs w:val="22"/>
          <w:lang w:val="pt-PT" w:eastAsia="en-US" w:bidi="ar-SA"/>
        </w:rPr>
      </w:pPr>
      <w:bookmarkStart w:id="3" w:name="art115%252525252525252525252525252525251"/>
      <w:bookmarkEnd w:id="3"/>
      <w:bookmarkStart w:id="4" w:name="art115%252525252525252525252525252525252"/>
      <w:bookmarkEnd w:id="4"/>
      <w:r>
        <w:rPr>
          <w:rFonts w:hint="default" w:ascii="Arial" w:hAnsi="Arial" w:cs="Arial"/>
          <w:bCs/>
          <w:iCs/>
          <w:sz w:val="22"/>
          <w:szCs w:val="22"/>
          <w:lang w:val="pt-BR" w:eastAsia="en-US" w:bidi="ar-SA"/>
        </w:rPr>
        <w:t>3.2</w:t>
      </w:r>
      <w:r>
        <w:rPr>
          <w:rFonts w:ascii="Arial" w:hAnsi="Arial" w:eastAsia="Verdana" w:cs="Arial"/>
          <w:bCs/>
          <w:iCs/>
          <w:sz w:val="22"/>
          <w:szCs w:val="22"/>
          <w:lang w:val="pt-PT" w:eastAsia="en-US" w:bidi="ar-SA"/>
        </w:rPr>
        <w:t>.2. Em caso de impedimento, ordem de paralisação ou suspensão do contrato, o cronograma de execução será prorrogado automaticamente pelo tempo correspondente, anotadas tais circunstâncias mediante simples apostila (Lei nº 14.133/2021, art. 115, §5º);</w:t>
      </w:r>
    </w:p>
    <w:p w14:paraId="425C5E4E">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w:t>
      </w:r>
      <w:r>
        <w:rPr>
          <w:rFonts w:ascii="Arial" w:hAnsi="Arial" w:eastAsia="Verdana" w:cs="Arial"/>
          <w:bCs/>
          <w:iCs/>
          <w:sz w:val="22"/>
          <w:szCs w:val="22"/>
          <w:lang w:val="pt-PT" w:eastAsia="en-US" w:bidi="ar-SA"/>
        </w:rPr>
        <w:t>.3. A execução do contrato deverá ser acompanhada e fiscalizada pelo(s) fiscal(is) do contrato, ou pelos respectivos substitutos (Lei nº 14.133/2021, art. 117, caput);</w:t>
      </w:r>
    </w:p>
    <w:p w14:paraId="03491856">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w:t>
      </w:r>
      <w:r>
        <w:rPr>
          <w:rFonts w:ascii="Arial" w:hAnsi="Arial" w:eastAsia="Verdana" w:cs="Arial"/>
          <w:bCs/>
          <w:iCs/>
          <w:sz w:val="22"/>
          <w:szCs w:val="22"/>
          <w:lang w:val="pt-PT" w:eastAsia="en-US" w:bidi="ar-SA"/>
        </w:rPr>
        <w:t>.3.1. O fiscal do contrato anotará em registro próprio todas as ocorrências relacionadas à execução do contrato, determinando o que for necessário para a regularização das faltas ou dos defeitos observados (Lei nº 14.133/2021, art. 117, §1º);</w:t>
      </w:r>
    </w:p>
    <w:p w14:paraId="33E7AE1B">
      <w:pPr>
        <w:spacing w:line="323" w:lineRule="atLeast"/>
        <w:ind w:left="0" w:leftChars="0" w:firstLine="0" w:firstLineChars="0"/>
        <w:jc w:val="both"/>
        <w:rPr>
          <w:rFonts w:ascii="Arial" w:hAnsi="Arial" w:eastAsia="Verdana" w:cs="Arial"/>
          <w:bCs/>
          <w:iCs/>
          <w:sz w:val="22"/>
          <w:szCs w:val="22"/>
          <w:lang w:val="pt-PT" w:eastAsia="en-US" w:bidi="ar-SA"/>
        </w:rPr>
      </w:pPr>
      <w:bookmarkStart w:id="5" w:name="art117%252525252525252525252525252525252"/>
      <w:bookmarkEnd w:id="5"/>
      <w:r>
        <w:rPr>
          <w:rFonts w:hint="default" w:ascii="Arial" w:hAnsi="Arial" w:cs="Arial"/>
          <w:bCs/>
          <w:iCs/>
          <w:sz w:val="22"/>
          <w:szCs w:val="22"/>
          <w:lang w:val="pt-BR" w:eastAsia="en-US" w:bidi="ar-SA"/>
        </w:rPr>
        <w:t>3.2</w:t>
      </w:r>
      <w:r>
        <w:rPr>
          <w:rFonts w:ascii="Arial" w:hAnsi="Arial" w:eastAsia="Verdana" w:cs="Arial"/>
          <w:bCs/>
          <w:iCs/>
          <w:sz w:val="22"/>
          <w:szCs w:val="22"/>
          <w:lang w:val="pt-PT" w:eastAsia="en-US" w:bidi="ar-SA"/>
        </w:rPr>
        <w:t>.3.2. O fiscal do contrato informará a seus superiores, em tempo hábil para a adoção das medidas convenientes, a situação que demandar decisão ou providência que ultrapasse sua competência (Lei nº 14.133/2021, art. 117, §2º);</w:t>
      </w:r>
    </w:p>
    <w:p w14:paraId="0C7A10F6">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w:t>
      </w:r>
      <w:r>
        <w:rPr>
          <w:rFonts w:ascii="Arial" w:hAnsi="Arial" w:eastAsia="Verdana" w:cs="Arial"/>
          <w:bCs/>
          <w:iCs/>
          <w:sz w:val="22"/>
          <w:szCs w:val="22"/>
          <w:lang w:val="pt-PT" w:eastAsia="en-US" w:bidi="ar-SA"/>
        </w:rPr>
        <w:t>.3.3.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304C3A9E">
      <w:pPr>
        <w:spacing w:line="323" w:lineRule="atLeast"/>
        <w:ind w:left="0" w:leftChars="0" w:firstLine="0" w:firstLineChars="0"/>
        <w:jc w:val="both"/>
        <w:rPr>
          <w:rFonts w:ascii="Arial" w:hAnsi="Arial" w:eastAsia="Verdana" w:cs="Arial"/>
          <w:bCs/>
          <w:iCs/>
          <w:sz w:val="22"/>
          <w:szCs w:val="22"/>
          <w:lang w:val="pt-PT" w:eastAsia="en-US" w:bidi="ar-SA"/>
        </w:rPr>
      </w:pPr>
      <w:bookmarkStart w:id="6" w:name="art120"/>
      <w:bookmarkEnd w:id="6"/>
      <w:r>
        <w:rPr>
          <w:rFonts w:hint="default" w:ascii="Arial" w:hAnsi="Arial" w:cs="Arial"/>
          <w:bCs/>
          <w:iCs/>
          <w:sz w:val="22"/>
          <w:szCs w:val="22"/>
          <w:lang w:val="pt-BR" w:eastAsia="en-US" w:bidi="ar-SA"/>
        </w:rPr>
        <w:t>3</w:t>
      </w:r>
      <w:r>
        <w:rPr>
          <w:rFonts w:ascii="Arial" w:hAnsi="Arial" w:eastAsia="Verdana" w:cs="Arial"/>
          <w:bCs/>
          <w:iCs/>
          <w:sz w:val="22"/>
          <w:szCs w:val="22"/>
          <w:lang w:val="pt-PT" w:eastAsia="en-US" w:bidi="ar-SA"/>
        </w:rPr>
        <w:t>.</w:t>
      </w:r>
      <w:r>
        <w:rPr>
          <w:rFonts w:hint="default" w:ascii="Arial" w:hAnsi="Arial" w:cs="Arial"/>
          <w:bCs/>
          <w:iCs/>
          <w:sz w:val="22"/>
          <w:szCs w:val="22"/>
          <w:lang w:val="pt-BR" w:eastAsia="en-US" w:bidi="ar-SA"/>
        </w:rPr>
        <w:t>2.</w:t>
      </w:r>
      <w:r>
        <w:rPr>
          <w:rFonts w:ascii="Arial" w:hAnsi="Arial" w:eastAsia="Verdana" w:cs="Arial"/>
          <w:bCs/>
          <w:iCs/>
          <w:sz w:val="22"/>
          <w:szCs w:val="22"/>
          <w:lang w:val="pt-PT" w:eastAsia="en-US" w:bidi="ar-SA"/>
        </w:rPr>
        <w:t>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5A477F65">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w:t>
      </w:r>
      <w:r>
        <w:rPr>
          <w:rFonts w:ascii="Arial" w:hAnsi="Arial" w:eastAsia="Verdana" w:cs="Arial"/>
          <w:bCs/>
          <w:iCs/>
          <w:sz w:val="22"/>
          <w:szCs w:val="22"/>
          <w:lang w:val="pt-PT" w:eastAsia="en-US" w:bidi="ar-SA"/>
        </w:rPr>
        <w:t>.</w:t>
      </w:r>
      <w:r>
        <w:rPr>
          <w:rFonts w:hint="default" w:ascii="Arial" w:hAnsi="Arial" w:cs="Arial"/>
          <w:bCs/>
          <w:iCs/>
          <w:sz w:val="22"/>
          <w:szCs w:val="22"/>
          <w:lang w:val="pt-BR" w:eastAsia="en-US" w:bidi="ar-SA"/>
        </w:rPr>
        <w:t>2.</w:t>
      </w:r>
      <w:r>
        <w:rPr>
          <w:rFonts w:ascii="Arial" w:hAnsi="Arial" w:eastAsia="Verdana" w:cs="Arial"/>
          <w:bCs/>
          <w:iCs/>
          <w:sz w:val="22"/>
          <w:szCs w:val="22"/>
          <w:lang w:val="pt-PT" w:eastAsia="en-US" w:bidi="ar-SA"/>
        </w:rPr>
        <w:t>5. Somente o contratado será responsável pelos encargos trabalhistas, previdenciários, fiscais e comerciais resultantes da execução do contrato (Lei nº 14.133/2021, art. 121, caput);</w:t>
      </w:r>
    </w:p>
    <w:p w14:paraId="0800F16D">
      <w:pPr>
        <w:spacing w:line="323" w:lineRule="atLeast"/>
        <w:ind w:left="0" w:leftChars="0" w:firstLine="0" w:firstLineChars="0"/>
        <w:jc w:val="both"/>
        <w:rPr>
          <w:rFonts w:ascii="Arial" w:hAnsi="Arial" w:eastAsia="Verdana" w:cs="Arial"/>
          <w:bCs/>
          <w:iCs/>
          <w:sz w:val="22"/>
          <w:szCs w:val="22"/>
          <w:lang w:val="pt-PT" w:eastAsia="en-US" w:bidi="ar-SA"/>
        </w:rPr>
      </w:pPr>
      <w:bookmarkStart w:id="7" w:name="art121%252525252525252525252525252525252"/>
      <w:bookmarkEnd w:id="7"/>
      <w:r>
        <w:rPr>
          <w:rFonts w:hint="default" w:ascii="Arial" w:hAnsi="Arial" w:cs="Arial"/>
          <w:bCs/>
          <w:iCs/>
          <w:sz w:val="22"/>
          <w:szCs w:val="22"/>
          <w:lang w:val="pt-BR" w:eastAsia="en-US" w:bidi="ar-SA"/>
        </w:rPr>
        <w:t>3</w:t>
      </w:r>
      <w:r>
        <w:rPr>
          <w:rFonts w:ascii="Arial" w:hAnsi="Arial" w:eastAsia="Verdana" w:cs="Arial"/>
          <w:bCs/>
          <w:iCs/>
          <w:sz w:val="22"/>
          <w:szCs w:val="22"/>
          <w:lang w:val="pt-PT" w:eastAsia="en-US" w:bidi="ar-SA"/>
        </w:rPr>
        <w:t>.</w:t>
      </w:r>
      <w:r>
        <w:rPr>
          <w:rFonts w:hint="default" w:ascii="Arial" w:hAnsi="Arial" w:cs="Arial"/>
          <w:bCs/>
          <w:iCs/>
          <w:sz w:val="22"/>
          <w:szCs w:val="22"/>
          <w:lang w:val="pt-BR" w:eastAsia="en-US" w:bidi="ar-SA"/>
        </w:rPr>
        <w:t>2.</w:t>
      </w:r>
      <w:r>
        <w:rPr>
          <w:rFonts w:ascii="Arial" w:hAnsi="Arial" w:eastAsia="Verdana" w:cs="Arial"/>
          <w:bCs/>
          <w:iCs/>
          <w:sz w:val="22"/>
          <w:szCs w:val="22"/>
          <w:lang w:val="pt-PT" w:eastAsia="en-US" w:bidi="ar-SA"/>
        </w:rPr>
        <w:t>6. A inadimplência do contratado em relação aos encargos trabalhistas, fiscais e comerciais não transferirá à Administração a responsabilidade pelo seu pagamento e não poderá onerar o objeto do contrato (Lei nº 14.133/2021, art. 121, §1º);</w:t>
      </w:r>
    </w:p>
    <w:p w14:paraId="0E4E608F">
      <w:pPr>
        <w:spacing w:line="323" w:lineRule="atLeast"/>
        <w:ind w:left="0" w:leftChars="0" w:firstLine="0" w:firstLineChars="0"/>
        <w:jc w:val="both"/>
        <w:rPr>
          <w:rFonts w:ascii="Arial" w:hAnsi="Arial" w:eastAsia="Verdana" w:cs="Arial"/>
          <w:bCs/>
          <w:iCs/>
          <w:sz w:val="22"/>
          <w:szCs w:val="22"/>
          <w:lang w:val="pt-PT" w:eastAsia="en-US" w:bidi="ar-SA"/>
        </w:rPr>
      </w:pPr>
      <w:bookmarkStart w:id="8" w:name="art122%252525252525252525252525252525252"/>
      <w:bookmarkEnd w:id="8"/>
      <w:bookmarkStart w:id="9" w:name="art123"/>
      <w:bookmarkEnd w:id="9"/>
      <w:bookmarkStart w:id="10" w:name="art122"/>
      <w:bookmarkEnd w:id="10"/>
      <w:bookmarkStart w:id="11" w:name="art122%252525252525252525252525252525251"/>
      <w:bookmarkEnd w:id="11"/>
      <w:bookmarkStart w:id="12" w:name="art122%252525252525252525252525252525253"/>
      <w:bookmarkEnd w:id="12"/>
      <w:r>
        <w:rPr>
          <w:rFonts w:hint="default" w:ascii="Arial" w:hAnsi="Arial" w:cs="Arial"/>
          <w:bCs/>
          <w:iCs/>
          <w:sz w:val="22"/>
          <w:szCs w:val="22"/>
          <w:lang w:val="pt-BR" w:eastAsia="en-US" w:bidi="ar-SA"/>
        </w:rPr>
        <w:t>3</w:t>
      </w:r>
      <w:r>
        <w:rPr>
          <w:rFonts w:ascii="Arial" w:hAnsi="Arial" w:eastAsia="Verdana" w:cs="Arial"/>
          <w:bCs/>
          <w:iCs/>
          <w:sz w:val="22"/>
          <w:szCs w:val="22"/>
          <w:lang w:val="pt-PT" w:eastAsia="en-US" w:bidi="ar-SA"/>
        </w:rPr>
        <w:t>.</w:t>
      </w:r>
      <w:r>
        <w:rPr>
          <w:rFonts w:hint="default" w:ascii="Arial" w:hAnsi="Arial" w:cs="Arial"/>
          <w:bCs/>
          <w:iCs/>
          <w:sz w:val="22"/>
          <w:szCs w:val="22"/>
          <w:lang w:val="pt-BR" w:eastAsia="en-US" w:bidi="ar-SA"/>
        </w:rPr>
        <w:t>2.</w:t>
      </w:r>
      <w:r>
        <w:rPr>
          <w:rFonts w:ascii="Arial" w:hAnsi="Arial" w:eastAsia="Verdana" w:cs="Arial"/>
          <w:bCs/>
          <w:iCs/>
          <w:sz w:val="22"/>
          <w:szCs w:val="22"/>
          <w:lang w:val="pt-PT" w:eastAsia="en-US" w:bidi="ar-SA"/>
        </w:rPr>
        <w:t>7. As comunicações entre o órgão ou entidade e a contratada devem ser realizadas por escrito sempre que o ato exigir tal formalidade, admitindo-se, excepcionalmente, o uso de mensagem eletrônica para esse fim;</w:t>
      </w:r>
    </w:p>
    <w:p w14:paraId="41B56E8B">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w:t>
      </w:r>
      <w:r>
        <w:rPr>
          <w:rFonts w:ascii="Arial" w:hAnsi="Arial" w:eastAsia="Verdana" w:cs="Arial"/>
          <w:bCs/>
          <w:iCs/>
          <w:sz w:val="22"/>
          <w:szCs w:val="22"/>
          <w:lang w:val="pt-PT" w:eastAsia="en-US" w:bidi="ar-SA"/>
        </w:rPr>
        <w:t>.8. O órgão ou entidade poderá convocar representante da empresa para adoção de providências que devam ser cumpridas de imediato;</w:t>
      </w:r>
    </w:p>
    <w:p w14:paraId="1182CC8A">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w:t>
      </w:r>
      <w:r>
        <w:rPr>
          <w:rFonts w:ascii="Arial" w:hAnsi="Arial" w:eastAsia="Verdana" w:cs="Arial"/>
          <w:bCs/>
          <w:iCs/>
          <w:sz w:val="22"/>
          <w:szCs w:val="22"/>
          <w:lang w:val="pt-PT" w:eastAsia="en-US" w:bidi="ar-SA"/>
        </w:rPr>
        <w:t>.9.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6EF2DB9A">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w:t>
      </w:r>
      <w:r>
        <w:rPr>
          <w:rFonts w:ascii="Arial" w:hAnsi="Arial" w:eastAsia="Verdana" w:cs="Arial"/>
          <w:bCs/>
          <w:iCs/>
          <w:sz w:val="22"/>
          <w:szCs w:val="22"/>
          <w:lang w:val="pt-PT" w:eastAsia="en-US" w:bidi="ar-SA"/>
        </w:rPr>
        <w:t>.10.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1AEDEF52">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w:t>
      </w:r>
      <w:r>
        <w:rPr>
          <w:rFonts w:ascii="Arial" w:hAnsi="Arial" w:eastAsia="Verdana" w:cs="Arial"/>
          <w:bCs/>
          <w:iCs/>
          <w:sz w:val="22"/>
          <w:szCs w:val="22"/>
          <w:lang w:val="pt-PT" w:eastAsia="en-US" w:bidi="ar-SA"/>
        </w:rPr>
        <w:t>.11. Para o acompanhamento, gestão e fiscalização da execução do presente contrato, serão designados em momento posterior, antes da execução do objeto, agentes públicos gestor, gestor substituto, fiscal, e fiscal substituto;</w:t>
      </w:r>
    </w:p>
    <w:p w14:paraId="47FC9260">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w:t>
      </w:r>
      <w:r>
        <w:rPr>
          <w:rFonts w:ascii="Arial" w:hAnsi="Arial" w:eastAsia="Verdana" w:cs="Arial"/>
          <w:bCs/>
          <w:iCs/>
          <w:sz w:val="22"/>
          <w:szCs w:val="22"/>
          <w:lang w:val="pt-PT" w:eastAsia="en-US" w:bidi="ar-SA"/>
        </w:rPr>
        <w:t>.12.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69FC6CED">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w:t>
      </w:r>
      <w:r>
        <w:rPr>
          <w:rFonts w:ascii="Arial" w:hAnsi="Arial" w:eastAsia="Verdana" w:cs="Arial"/>
          <w:bCs/>
          <w:iCs/>
          <w:sz w:val="22"/>
          <w:szCs w:val="22"/>
          <w:lang w:val="pt-PT" w:eastAsia="en-US" w:bidi="ar-SA"/>
        </w:rPr>
        <w:t>.13. O(s) fiscal(is) designado pela Contratante deverá ter a experiência necessária para o acompanhamento e controle da execução dos serviços e do contrato;</w:t>
      </w:r>
    </w:p>
    <w:p w14:paraId="5420B3F5">
      <w:pPr>
        <w:spacing w:line="323" w:lineRule="atLeast"/>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w:t>
      </w:r>
      <w:r>
        <w:rPr>
          <w:rFonts w:ascii="Arial" w:hAnsi="Arial" w:eastAsia="Verdana" w:cs="Arial"/>
          <w:bCs/>
          <w:iCs/>
          <w:sz w:val="22"/>
          <w:szCs w:val="22"/>
          <w:lang w:val="pt-PT" w:eastAsia="en-US" w:bidi="ar-SA"/>
        </w:rPr>
        <w:t>.14. A verificação da adequação da prestação do serviço deverá ser realizada com base nos critérios previstos n</w:t>
      </w:r>
      <w:r>
        <w:rPr>
          <w:rFonts w:hint="default" w:ascii="Arial" w:hAnsi="Arial" w:cs="Arial"/>
          <w:bCs/>
          <w:iCs/>
          <w:sz w:val="22"/>
          <w:szCs w:val="22"/>
          <w:lang w:val="pt-BR" w:eastAsia="en-US" w:bidi="ar-SA"/>
        </w:rPr>
        <w:t>o</w:t>
      </w:r>
      <w:r>
        <w:rPr>
          <w:rFonts w:ascii="Arial" w:hAnsi="Arial" w:eastAsia="Verdana" w:cs="Arial"/>
          <w:bCs/>
          <w:iCs/>
          <w:sz w:val="22"/>
          <w:szCs w:val="22"/>
          <w:lang w:val="pt-PT" w:eastAsia="en-US" w:bidi="ar-SA"/>
        </w:rPr>
        <w:t xml:space="preserve"> Termo de Referência;</w:t>
      </w:r>
    </w:p>
    <w:p w14:paraId="2826D03A">
      <w:pPr>
        <w:spacing w:line="323" w:lineRule="atLeast"/>
        <w:ind w:left="0" w:leftChars="0" w:firstLine="0" w:firstLineChars="0"/>
        <w:jc w:val="both"/>
        <w:rPr>
          <w:rFonts w:hint="default" w:ascii="Arial" w:hAnsi="Arial" w:cs="Arial"/>
          <w:bCs/>
          <w:iCs/>
          <w:lang w:val="pt-BR"/>
        </w:rPr>
      </w:pPr>
      <w:r>
        <w:rPr>
          <w:rFonts w:hint="default" w:ascii="Arial" w:hAnsi="Arial" w:cs="Arial"/>
          <w:bCs/>
          <w:iCs/>
          <w:sz w:val="22"/>
          <w:szCs w:val="22"/>
          <w:lang w:val="pt-BR" w:eastAsia="en-US" w:bidi="ar-SA"/>
        </w:rPr>
        <w:t>3.2</w:t>
      </w:r>
      <w:r>
        <w:rPr>
          <w:rFonts w:ascii="Arial" w:hAnsi="Arial" w:eastAsia="Verdana" w:cs="Arial"/>
          <w:bCs/>
          <w:iCs/>
          <w:sz w:val="22"/>
          <w:szCs w:val="22"/>
          <w:lang w:val="pt-PT" w:eastAsia="en-US" w:bidi="ar-SA"/>
        </w:rPr>
        <w:t>.15.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5459A90B">
      <w:pPr>
        <w:pStyle w:val="19"/>
        <w:widowControl/>
        <w:tabs>
          <w:tab w:val="left" w:pos="426"/>
        </w:tabs>
        <w:autoSpaceDE/>
        <w:autoSpaceDN/>
        <w:spacing w:before="120" w:after="120" w:line="276" w:lineRule="auto"/>
        <w:ind w:left="0"/>
        <w:jc w:val="both"/>
        <w:rPr>
          <w:rFonts w:ascii="Arial" w:hAnsi="Arial" w:cs="Arial"/>
          <w:bCs/>
          <w:i/>
          <w:color w:val="FF0000"/>
        </w:rPr>
      </w:pPr>
    </w:p>
    <w:p w14:paraId="132F4CAA">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0DDCBB45">
      <w:pPr>
        <w:spacing w:line="323" w:lineRule="atLeast"/>
        <w:ind w:left="0" w:leftChars="0" w:firstLine="0" w:firstLineChars="0"/>
        <w:jc w:val="both"/>
        <w:rPr>
          <w:rFonts w:ascii="Arial" w:hAnsi="Arial" w:eastAsia="Verdana" w:cs="Arial"/>
          <w:b/>
          <w:bCs w:val="0"/>
          <w:iCs/>
          <w:color w:val="auto"/>
          <w:sz w:val="22"/>
          <w:szCs w:val="22"/>
          <w:lang w:val="pt-PT" w:eastAsia="en-US" w:bidi="ar-SA"/>
        </w:rPr>
      </w:pPr>
      <w:r>
        <w:rPr>
          <w:rFonts w:hint="default" w:ascii="Arial" w:hAnsi="Arial" w:eastAsia="Verdana" w:cs="Arial"/>
          <w:bCs/>
          <w:iCs/>
          <w:color w:val="auto"/>
          <w:sz w:val="22"/>
          <w:szCs w:val="22"/>
          <w:lang w:val="en-US" w:eastAsia="pt-BR" w:bidi="ar-SA"/>
        </w:rPr>
        <w:t xml:space="preserve">6.1 </w:t>
      </w:r>
      <w:r>
        <w:rPr>
          <w:rFonts w:ascii="Arial" w:hAnsi="Arial" w:eastAsia="Verdana" w:cs="Arial"/>
          <w:bCs/>
          <w:iCs/>
          <w:color w:val="auto"/>
          <w:sz w:val="22"/>
          <w:szCs w:val="22"/>
          <w:lang w:val="pt-PT" w:eastAsia="en-US" w:bidi="ar-SA"/>
        </w:rPr>
        <w:t xml:space="preserve">As notas fiscais deverão ser emitidas em nome do </w:t>
      </w:r>
      <w:r>
        <w:rPr>
          <w:rFonts w:ascii="Arial" w:hAnsi="Arial" w:eastAsia="Verdana" w:cs="Arial"/>
          <w:b/>
          <w:bCs w:val="0"/>
          <w:iCs/>
          <w:color w:val="auto"/>
          <w:sz w:val="22"/>
          <w:szCs w:val="22"/>
          <w:lang w:val="pt-PT" w:eastAsia="en-US" w:bidi="ar-SA"/>
        </w:rPr>
        <w:t xml:space="preserve">FUNDO MUNICIPAL DE SAÚDE, CNPJ: 11.399.442/0001-79 </w:t>
      </w:r>
      <w:bookmarkStart w:id="13" w:name="__DdeLink__8609_3679100508"/>
      <w:r>
        <w:rPr>
          <w:rFonts w:ascii="Arial" w:hAnsi="Arial" w:eastAsia="Verdana" w:cs="Arial"/>
          <w:b/>
          <w:bCs w:val="0"/>
          <w:iCs/>
          <w:color w:val="auto"/>
          <w:sz w:val="22"/>
          <w:szCs w:val="22"/>
          <w:lang w:val="pt-PT" w:eastAsia="en-US" w:bidi="ar-SA"/>
        </w:rPr>
        <w:t>–</w:t>
      </w:r>
      <w:bookmarkEnd w:id="13"/>
      <w:r>
        <w:rPr>
          <w:rFonts w:ascii="Arial" w:hAnsi="Arial" w:eastAsia="Verdana" w:cs="Arial"/>
          <w:b/>
          <w:bCs w:val="0"/>
          <w:iCs/>
          <w:color w:val="auto"/>
          <w:sz w:val="22"/>
          <w:szCs w:val="22"/>
          <w:lang w:val="pt-PT" w:eastAsia="en-US" w:bidi="ar-SA"/>
        </w:rPr>
        <w:t xml:space="preserve"> AVENIDA ALBERTO BRAUNE, Nº 224 SALA 221 – CENTRO – NOVA FRIBURGO/RJ – CEP 28613-001;</w:t>
      </w:r>
    </w:p>
    <w:p w14:paraId="3CA4AC4C">
      <w:pPr>
        <w:spacing w:line="323" w:lineRule="atLeast"/>
        <w:ind w:left="0" w:leftChars="0" w:firstLine="0" w:firstLineChars="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.2.</w:t>
      </w:r>
      <w:r>
        <w:rPr>
          <w:rFonts w:ascii="Arial" w:hAnsi="Arial" w:eastAsia="Verdana" w:cs="Arial"/>
          <w:bCs/>
          <w:iCs/>
          <w:color w:val="auto"/>
          <w:sz w:val="22"/>
          <w:szCs w:val="22"/>
          <w:u w:val="single"/>
          <w:lang w:val="pt-PT" w:eastAsia="en-US" w:bidi="ar-SA"/>
        </w:rPr>
        <w:t xml:space="preserve"> Liquidação da Despesa:</w:t>
      </w:r>
    </w:p>
    <w:p w14:paraId="0E27BAA3">
      <w:pPr>
        <w:spacing w:line="323" w:lineRule="atLeast"/>
        <w:ind w:left="0" w:leftChars="0" w:firstLine="0" w:firstLineChars="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 xml:space="preserve">.2.1. A liquidação será realizada pela Secretaria Municipal de Fazenda, a partir do cumprimento das obrigações elencadas neste Termo de Referência, em obediência ao Decreto nº 2493 de 07 de novembro de 2023, </w:t>
      </w:r>
      <w:r>
        <w:rPr>
          <w:rFonts w:ascii="Arial" w:hAnsi="Arial" w:eastAsia="Verdana" w:cs="Arial"/>
          <w:bCs/>
          <w:iCs/>
          <w:color w:val="auto"/>
          <w:sz w:val="22"/>
          <w:szCs w:val="22"/>
          <w:lang w:val="pt-PT" w:eastAsia="en-US" w:bidi="ar-SA"/>
        </w:rPr>
        <w:fldChar w:fldCharType="begin"/>
      </w:r>
      <w:r>
        <w:rPr>
          <w:rFonts w:ascii="Arial" w:hAnsi="Arial" w:eastAsia="Verdana" w:cs="Arial"/>
          <w:bCs/>
          <w:iCs/>
          <w:color w:val="auto"/>
          <w:sz w:val="22"/>
          <w:szCs w:val="22"/>
          <w:lang w:val="pt-PT" w:eastAsia="en-US" w:bidi="ar-SA"/>
        </w:rPr>
        <w:instrText xml:space="preserve"> HYPERLINK "https://pmnf.rj.gov.br/legislacao/index" </w:instrText>
      </w:r>
      <w:r>
        <w:rPr>
          <w:rFonts w:ascii="Arial" w:hAnsi="Arial" w:eastAsia="Verdana" w:cs="Arial"/>
          <w:bCs/>
          <w:iCs/>
          <w:color w:val="auto"/>
          <w:sz w:val="22"/>
          <w:szCs w:val="22"/>
          <w:lang w:val="pt-PT" w:eastAsia="en-US" w:bidi="ar-SA"/>
        </w:rPr>
        <w:fldChar w:fldCharType="separate"/>
      </w:r>
      <w:r>
        <w:rPr>
          <w:rFonts w:ascii="Arial" w:hAnsi="Arial" w:eastAsia="Verdana" w:cs="Arial"/>
          <w:bCs/>
          <w:iCs/>
          <w:color w:val="auto"/>
          <w:sz w:val="22"/>
          <w:szCs w:val="22"/>
          <w:lang w:val="pt-PT" w:eastAsia="en-US" w:bidi="ar-SA"/>
        </w:rPr>
        <w:t>https://pmnf.rj.gov.br/legislacao/index</w:t>
      </w:r>
      <w:r>
        <w:rPr>
          <w:rFonts w:ascii="Arial" w:hAnsi="Arial" w:eastAsia="Verdana" w:cs="Arial"/>
          <w:bCs/>
          <w:iCs/>
          <w:color w:val="auto"/>
          <w:sz w:val="22"/>
          <w:szCs w:val="22"/>
          <w:lang w:val="pt-PT" w:eastAsia="en-US" w:bidi="ar-SA"/>
        </w:rPr>
        <w:fldChar w:fldCharType="end"/>
      </w:r>
      <w:r>
        <w:rPr>
          <w:rFonts w:ascii="Arial" w:hAnsi="Arial" w:eastAsia="Verdana" w:cs="Arial"/>
          <w:bCs/>
          <w:iCs/>
          <w:color w:val="auto"/>
          <w:sz w:val="22"/>
          <w:szCs w:val="22"/>
          <w:lang w:val="pt-PT" w:eastAsia="en-US" w:bidi="ar-SA"/>
        </w:rPr>
        <w:t>;</w:t>
      </w:r>
    </w:p>
    <w:p w14:paraId="32C3AC35">
      <w:pPr>
        <w:spacing w:line="323" w:lineRule="atLeast"/>
        <w:ind w:left="0" w:leftChars="0" w:firstLine="0" w:firstLineChars="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.2.2. 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w:t>
      </w:r>
    </w:p>
    <w:p w14:paraId="32571CEE">
      <w:pPr>
        <w:spacing w:line="323" w:lineRule="atLeast"/>
        <w:ind w:left="0" w:leftChars="0" w:firstLine="0" w:firstLineChars="0"/>
        <w:jc w:val="both"/>
        <w:rPr>
          <w:rFonts w:ascii="Arial" w:hAnsi="Arial" w:eastAsia="Verdana" w:cs="Arial"/>
          <w:bCs/>
          <w:iCs/>
          <w:color w:val="auto"/>
          <w:sz w:val="22"/>
          <w:szCs w:val="22"/>
          <w:lang w:val="pt-PT" w:eastAsia="en-US" w:bidi="ar-SA"/>
        </w:rPr>
      </w:pPr>
      <w:r>
        <w:rPr>
          <w:rFonts w:ascii="Arial" w:hAnsi="Arial" w:eastAsia="Verdana" w:cs="Arial"/>
          <w:bCs/>
          <w:iCs/>
          <w:color w:val="auto"/>
          <w:sz w:val="22"/>
          <w:szCs w:val="22"/>
          <w:lang w:val="pt-PT" w:eastAsia="en-US" w:bidi="ar-SA"/>
        </w:rPr>
        <w:fldChar w:fldCharType="begin"/>
      </w:r>
      <w:r>
        <w:rPr>
          <w:rFonts w:ascii="Arial" w:hAnsi="Arial" w:eastAsia="Verdana" w:cs="Arial"/>
          <w:bCs/>
          <w:iCs/>
          <w:color w:val="auto"/>
          <w:sz w:val="22"/>
          <w:szCs w:val="22"/>
          <w:lang w:val="pt-PT" w:eastAsia="en-US" w:bidi="ar-SA"/>
        </w:rPr>
        <w:instrText xml:space="preserve"> HYPERLINK "https://pmnf.rj.gov.br/legislacao/index" </w:instrText>
      </w:r>
      <w:r>
        <w:rPr>
          <w:rFonts w:ascii="Arial" w:hAnsi="Arial" w:eastAsia="Verdana" w:cs="Arial"/>
          <w:bCs/>
          <w:iCs/>
          <w:color w:val="auto"/>
          <w:sz w:val="22"/>
          <w:szCs w:val="22"/>
          <w:lang w:val="pt-PT" w:eastAsia="en-US" w:bidi="ar-SA"/>
        </w:rPr>
        <w:fldChar w:fldCharType="separate"/>
      </w:r>
      <w:r>
        <w:rPr>
          <w:rFonts w:ascii="Arial" w:hAnsi="Arial" w:eastAsia="Verdana" w:cs="Arial"/>
          <w:bCs/>
          <w:iCs/>
          <w:color w:val="auto"/>
          <w:sz w:val="22"/>
          <w:szCs w:val="22"/>
          <w:lang w:val="pt-PT" w:eastAsia="en-US" w:bidi="ar-SA"/>
        </w:rPr>
        <w:t>https://pmnf.rj.gov.br/legislacao/index</w:t>
      </w:r>
      <w:r>
        <w:rPr>
          <w:rFonts w:ascii="Arial" w:hAnsi="Arial" w:eastAsia="Verdana" w:cs="Arial"/>
          <w:bCs/>
          <w:iCs/>
          <w:color w:val="auto"/>
          <w:sz w:val="22"/>
          <w:szCs w:val="22"/>
          <w:lang w:val="pt-PT" w:eastAsia="en-US" w:bidi="ar-SA"/>
        </w:rPr>
        <w:fldChar w:fldCharType="end"/>
      </w:r>
      <w:r>
        <w:rPr>
          <w:rFonts w:ascii="Arial" w:hAnsi="Arial" w:eastAsia="Verdana" w:cs="Arial"/>
          <w:bCs/>
          <w:iCs/>
          <w:color w:val="auto"/>
          <w:sz w:val="22"/>
          <w:szCs w:val="22"/>
          <w:lang w:val="pt-PT" w:eastAsia="en-US" w:bidi="ar-SA"/>
        </w:rPr>
        <w:t xml:space="preserve"> </w:t>
      </w:r>
    </w:p>
    <w:p w14:paraId="683938F7">
      <w:pPr>
        <w:spacing w:line="323" w:lineRule="atLeast"/>
        <w:ind w:left="0" w:leftChars="0" w:firstLine="0" w:firstLineChars="0"/>
        <w:jc w:val="both"/>
        <w:rPr>
          <w:rFonts w:ascii="Arial" w:hAnsi="Arial" w:eastAsia="Verdana" w:cs="Arial"/>
          <w:bCs/>
          <w:iCs/>
          <w:color w:val="auto"/>
          <w:sz w:val="22"/>
          <w:szCs w:val="22"/>
          <w:u w:val="single"/>
          <w:lang w:val="pt-PT" w:eastAsia="en-US" w:bidi="ar-SA"/>
        </w:rPr>
      </w:pPr>
      <w:r>
        <w:rPr>
          <w:rFonts w:hint="default" w:ascii="Arial" w:hAnsi="Arial" w:cs="Arial"/>
          <w:bCs/>
          <w:iCs/>
          <w:color w:val="auto"/>
          <w:sz w:val="22"/>
          <w:szCs w:val="22"/>
          <w:u w:val="none"/>
          <w:lang w:val="pt-BR" w:eastAsia="en-US" w:bidi="ar-SA"/>
        </w:rPr>
        <w:t>6</w:t>
      </w:r>
      <w:r>
        <w:rPr>
          <w:rFonts w:ascii="Arial" w:hAnsi="Arial" w:eastAsia="Verdana" w:cs="Arial"/>
          <w:bCs/>
          <w:iCs/>
          <w:color w:val="auto"/>
          <w:sz w:val="22"/>
          <w:szCs w:val="22"/>
          <w:u w:val="none"/>
          <w:lang w:val="pt-PT" w:eastAsia="en-US" w:bidi="ar-SA"/>
        </w:rPr>
        <w:t xml:space="preserve">.3. </w:t>
      </w:r>
      <w:r>
        <w:rPr>
          <w:rFonts w:ascii="Arial" w:hAnsi="Arial" w:eastAsia="Verdana" w:cs="Arial"/>
          <w:bCs/>
          <w:iCs/>
          <w:color w:val="auto"/>
          <w:sz w:val="22"/>
          <w:szCs w:val="22"/>
          <w:u w:val="single"/>
          <w:lang w:val="pt-PT" w:eastAsia="en-US" w:bidi="ar-SA"/>
        </w:rPr>
        <w:t>Pagamento da Despesa:</w:t>
      </w:r>
    </w:p>
    <w:p w14:paraId="3EA09038">
      <w:pPr>
        <w:spacing w:line="323" w:lineRule="atLeast"/>
        <w:ind w:left="0" w:leftChars="0" w:firstLine="0" w:firstLineChars="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.3.1. O pagamento será efetuado conforme estabelece o Decreto n° 2493 de 07 de novembro de 2023, desde que as certidões listadas abaixo estejam dentro da validade:</w:t>
      </w:r>
    </w:p>
    <w:p w14:paraId="3FE4ACCC">
      <w:pPr>
        <w:spacing w:line="360" w:lineRule="auto"/>
        <w:ind w:left="0" w:leftChars="0" w:firstLine="0" w:firstLineChars="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.3.1.1. Negativa de Débitos Trabalhistas;</w:t>
      </w:r>
    </w:p>
    <w:p w14:paraId="3DA523D9">
      <w:pPr>
        <w:spacing w:line="360" w:lineRule="auto"/>
        <w:ind w:left="0" w:leftChars="0" w:firstLine="0" w:firstLineChars="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.3.1.2. Fazenda Federal – Abrange as contribuições sociais;</w:t>
      </w:r>
    </w:p>
    <w:p w14:paraId="21B12037">
      <w:pPr>
        <w:spacing w:line="360" w:lineRule="auto"/>
        <w:ind w:left="0" w:leftChars="0" w:firstLine="0" w:firstLineChars="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.3.1.3. FGTS;</w:t>
      </w:r>
    </w:p>
    <w:p w14:paraId="28AA6ABA">
      <w:pPr>
        <w:spacing w:line="360" w:lineRule="auto"/>
        <w:ind w:left="0" w:leftChars="0" w:firstLine="0" w:firstLineChars="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.3.1.4. PGE – Referente à Divida Ativa Estadual;</w:t>
      </w:r>
    </w:p>
    <w:p w14:paraId="54B8677E">
      <w:pPr>
        <w:spacing w:line="360" w:lineRule="auto"/>
        <w:ind w:left="0" w:leftChars="0" w:firstLine="0" w:firstLineChars="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.3.1.5. Municipal – Referente ao ISS e Dívida Ativa;</w:t>
      </w:r>
    </w:p>
    <w:p w14:paraId="2FC509BD">
      <w:pPr>
        <w:spacing w:line="360" w:lineRule="auto"/>
        <w:ind w:left="0" w:leftChars="0" w:firstLine="0" w:firstLineChars="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.3.1.6. Estadual CND – Referente ao ICMS;</w:t>
      </w:r>
    </w:p>
    <w:p w14:paraId="4588D216">
      <w:pPr>
        <w:spacing w:line="323" w:lineRule="atLeast"/>
        <w:ind w:left="0" w:leftChars="0" w:firstLine="0" w:firstLineChars="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 A Nota Fiscal deverá conter identificação do Banco, número da agência e da Conta-Corrente, para que possibilite o CONTRATANTE efetuar o pagamento do valor devido;</w:t>
      </w:r>
    </w:p>
    <w:p w14:paraId="1F668B66">
      <w:pPr>
        <w:spacing w:line="323" w:lineRule="atLeast"/>
        <w:ind w:left="0" w:leftChars="0" w:firstLine="0" w:firstLineChars="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.4.1. Na ocorrência de rejeição da(s) Nota(s) Fiscal (s), motivada por erro ou incorreções, o prazo para pagamento estipulado acima passará a ser contado a partir da data de sua reapresentação;</w:t>
      </w:r>
    </w:p>
    <w:p w14:paraId="2D881A10">
      <w:pPr>
        <w:spacing w:line="323" w:lineRule="atLeast"/>
        <w:ind w:left="0" w:leftChars="0" w:firstLine="0" w:firstLineChars="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.4.2.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70940A8D">
      <w:pPr>
        <w:pStyle w:val="19"/>
        <w:spacing w:line="360" w:lineRule="auto"/>
        <w:ind w:left="0" w:leftChars="0" w:right="0" w:firstLine="0" w:firstLineChars="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w:t>
      </w:r>
      <w:r>
        <w:rPr>
          <w:rFonts w:hint="default" w:ascii="Arial" w:hAnsi="Arial" w:cs="Arial"/>
          <w:bCs/>
          <w:iCs/>
          <w:color w:val="auto"/>
          <w:sz w:val="22"/>
          <w:szCs w:val="22"/>
          <w:lang w:val="pt-BR" w:eastAsia="en-US" w:bidi="ar-SA"/>
        </w:rPr>
        <w:t>3</w:t>
      </w:r>
      <w:r>
        <w:rPr>
          <w:rFonts w:ascii="Arial" w:hAnsi="Arial" w:eastAsia="Verdana" w:cs="Arial"/>
          <w:bCs/>
          <w:iCs/>
          <w:color w:val="auto"/>
          <w:sz w:val="22"/>
          <w:szCs w:val="22"/>
          <w:lang w:val="pt-PT" w:eastAsia="en-US" w:bidi="ar-SA"/>
        </w:rPr>
        <w:t>.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02250B34">
      <w:pPr>
        <w:pStyle w:val="19"/>
        <w:tabs>
          <w:tab w:val="left" w:pos="284"/>
        </w:tabs>
        <w:spacing w:line="276" w:lineRule="auto"/>
        <w:ind w:left="0"/>
        <w:jc w:val="both"/>
        <w:rPr>
          <w:rFonts w:hint="default" w:ascii="Arial" w:hAnsi="Arial" w:cs="Arial" w:eastAsiaTheme="majorEastAsia"/>
          <w:b/>
          <w:bCs/>
          <w:lang w:val="en-US" w:eastAsia="pt-BR"/>
        </w:rPr>
      </w:pPr>
    </w:p>
    <w:p w14:paraId="3597BA5A">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7845908">
      <w:pPr>
        <w:pStyle w:val="19"/>
        <w:widowControl/>
        <w:tabs>
          <w:tab w:val="left" w:pos="426"/>
        </w:tabs>
        <w:autoSpaceDE/>
        <w:autoSpaceDN/>
        <w:spacing w:before="120" w:after="120" w:line="276" w:lineRule="auto"/>
        <w:ind w:left="862"/>
        <w:jc w:val="both"/>
        <w:rPr>
          <w:rFonts w:ascii="Arial" w:hAnsi="Arial" w:cs="Arial"/>
          <w:bCs/>
          <w:iCs/>
          <w:lang w:val="pt-BR"/>
        </w:rPr>
      </w:pP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45D895A">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46497EF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B375889">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212FA0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3DEBAB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73D9A8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09AAFC1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0C270AA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BEA2066">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CD199C2">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758ADBE2">
      <w:pPr>
        <w:pStyle w:val="45"/>
        <w:numPr>
          <w:ilvl w:val="1"/>
          <w:numId w:val="3"/>
        </w:numPr>
        <w:rPr>
          <w:sz w:val="22"/>
          <w:szCs w:val="22"/>
        </w:rPr>
      </w:pPr>
      <w:r>
        <w:rPr>
          <w:sz w:val="22"/>
          <w:szCs w:val="22"/>
        </w:rPr>
        <w:t xml:space="preserve">Guardar sigilo sobre todas as informações obtidas em decorrência do cumprimento do contrato; </w:t>
      </w:r>
    </w:p>
    <w:p w14:paraId="65F8514E">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35B655A2">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02074FDA">
      <w:pPr>
        <w:pStyle w:val="19"/>
        <w:tabs>
          <w:tab w:val="left" w:pos="284"/>
        </w:tabs>
        <w:spacing w:line="276" w:lineRule="auto"/>
        <w:ind w:left="0"/>
        <w:rPr>
          <w:rFonts w:ascii="Arial" w:hAnsi="Arial" w:cs="Arial" w:eastAsiaTheme="majorEastAsia"/>
          <w:b/>
          <w:bCs/>
          <w:lang w:val="pt-BR" w:eastAsia="pt-BR"/>
        </w:rPr>
      </w:pPr>
    </w:p>
    <w:p w14:paraId="08F3143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589948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AD111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28A9AF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4" w:name="_Hlk114504069"/>
      <w:r>
        <w:rPr>
          <w:rStyle w:val="9"/>
          <w:rFonts w:ascii="Arial" w:hAnsi="Arial" w:eastAsia="Arial" w:cs="Arial"/>
        </w:rPr>
        <w:t>Lei nº 14.133, de 2021</w:t>
      </w:r>
      <w:bookmarkEnd w:id="14"/>
      <w:r>
        <w:rPr>
          <w:rStyle w:val="9"/>
          <w:rFonts w:ascii="Arial" w:hAnsi="Arial" w:eastAsia="Arial" w:cs="Arial"/>
        </w:rPr>
        <w:fldChar w:fldCharType="end"/>
      </w:r>
      <w:r>
        <w:rPr>
          <w:rFonts w:ascii="Arial" w:hAnsi="Arial" w:eastAsia="Arial" w:cs="Arial"/>
        </w:rPr>
        <w:t>);</w:t>
      </w:r>
    </w:p>
    <w:p w14:paraId="2D2E509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8C62B6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57B758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1C5923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22B95C2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4638A08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0574019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4E6DB27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163F99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AC7E6A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070FC42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02E53A4E">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2EFA7AE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5A49F57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ACB71A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5FF269">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BE35F2B">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F33BC5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ECCD0B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2709D8D">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76A3888">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6107865B">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8BA3FC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18497287">
      <w:pPr>
        <w:spacing w:line="323" w:lineRule="atLeast"/>
        <w:ind w:left="0" w:leftChars="0" w:firstLine="0" w:firstLineChars="0"/>
        <w:jc w:val="both"/>
        <w:rPr>
          <w:rFonts w:ascii="Arial" w:hAnsi="Arial" w:eastAsia="Verdana" w:cs="Arial"/>
          <w:sz w:val="22"/>
          <w:szCs w:val="22"/>
          <w:lang w:val="pt-PT" w:eastAsia="en-US" w:bidi="ar-SA"/>
        </w:rPr>
      </w:pPr>
      <w:r>
        <w:rPr>
          <w:rFonts w:hint="default" w:ascii="Arial" w:hAnsi="Arial" w:eastAsia="Verdana" w:cs="Arial"/>
          <w:sz w:val="22"/>
          <w:szCs w:val="22"/>
          <w:lang w:val="pt-BR" w:eastAsia="en-US" w:bidi="ar-SA"/>
        </w:rPr>
        <w:t>13.1</w:t>
      </w:r>
      <w:r>
        <w:rPr>
          <w:rFonts w:hint="default" w:ascii="Arial" w:hAnsi="Arial" w:cs="Arial"/>
          <w:sz w:val="22"/>
          <w:szCs w:val="22"/>
          <w:lang w:val="pt-BR" w:eastAsia="en-US" w:bidi="ar-SA"/>
        </w:rPr>
        <w:t xml:space="preserve"> </w:t>
      </w:r>
      <w:r>
        <w:rPr>
          <w:rFonts w:ascii="Arial" w:hAnsi="Arial" w:eastAsia="Verdana" w:cs="Arial"/>
          <w:sz w:val="22"/>
          <w:szCs w:val="22"/>
          <w:lang w:val="pt-PT" w:eastAsia="en-US" w:bidi="ar-SA"/>
        </w:rPr>
        <w:t>As despesas decorrentes da presente contratação correrão à conta de recursos específicos consignados no Orçamento do Município;</w:t>
      </w:r>
    </w:p>
    <w:p w14:paraId="21EB0B0F">
      <w:pPr>
        <w:spacing w:line="323" w:lineRule="atLeast"/>
        <w:ind w:left="0" w:leftChars="0" w:firstLine="0"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1</w:t>
      </w:r>
      <w:r>
        <w:rPr>
          <w:rFonts w:hint="default" w:ascii="Arial" w:hAnsi="Arial" w:cs="Arial"/>
          <w:sz w:val="22"/>
          <w:szCs w:val="22"/>
          <w:lang w:val="pt-BR" w:eastAsia="en-US" w:bidi="ar-SA"/>
        </w:rPr>
        <w:t>3</w:t>
      </w:r>
      <w:r>
        <w:rPr>
          <w:rFonts w:ascii="Arial" w:hAnsi="Arial" w:eastAsia="Verdana" w:cs="Arial"/>
          <w:sz w:val="22"/>
          <w:szCs w:val="22"/>
          <w:lang w:val="pt-PT" w:eastAsia="en-US" w:bidi="ar-SA"/>
        </w:rPr>
        <w:t>.2. A contratação será atendida pela seguinte dotação</w:t>
      </w:r>
      <w:r>
        <w:rPr>
          <w:rFonts w:hint="default" w:ascii="Arial" w:hAnsi="Arial" w:cs="Arial"/>
          <w:sz w:val="22"/>
          <w:szCs w:val="22"/>
          <w:lang w:val="pt-BR" w:eastAsia="en-US" w:bidi="ar-SA"/>
        </w:rPr>
        <w:t>:</w:t>
      </w:r>
    </w:p>
    <w:tbl>
      <w:tblPr>
        <w:tblStyle w:val="17"/>
        <w:tblW w:w="91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2"/>
        <w:gridCol w:w="2940"/>
        <w:gridCol w:w="1200"/>
        <w:gridCol w:w="1408"/>
      </w:tblGrid>
      <w:tr w14:paraId="3FBB1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3642" w:type="dxa"/>
            <w:shd w:val="clear" w:color="auto" w:fill="D0CECE"/>
            <w:vAlign w:val="center"/>
          </w:tcPr>
          <w:p w14:paraId="198293AB">
            <w:pPr>
              <w:pStyle w:val="19"/>
              <w:spacing w:line="276" w:lineRule="auto"/>
              <w:ind w:left="0"/>
              <w:jc w:val="center"/>
              <w:rPr>
                <w:rFonts w:ascii="Arial" w:hAnsi="Arial" w:eastAsia="Verdana" w:cs="Arial"/>
                <w:sz w:val="22"/>
                <w:szCs w:val="22"/>
                <w:lang w:val="pt-PT" w:eastAsia="en-US" w:bidi="ar-SA"/>
              </w:rPr>
            </w:pPr>
            <w:r>
              <w:rPr>
                <w:rFonts w:ascii="Arial" w:hAnsi="Arial" w:eastAsia="Verdana" w:cs="Arial"/>
                <w:b/>
                <w:bCs/>
                <w:sz w:val="22"/>
                <w:szCs w:val="22"/>
                <w:lang w:val="pt-PT" w:eastAsia="en-US" w:bidi="ar-SA"/>
              </w:rPr>
              <w:t>Unidades</w:t>
            </w:r>
          </w:p>
        </w:tc>
        <w:tc>
          <w:tcPr>
            <w:tcW w:w="2940" w:type="dxa"/>
            <w:tcBorders>
              <w:right w:val="nil"/>
            </w:tcBorders>
            <w:shd w:val="clear" w:color="auto" w:fill="D0CECE"/>
            <w:vAlign w:val="center"/>
          </w:tcPr>
          <w:p w14:paraId="4167D86B">
            <w:pPr>
              <w:pStyle w:val="19"/>
              <w:spacing w:line="276" w:lineRule="auto"/>
              <w:ind w:left="40"/>
              <w:jc w:val="center"/>
              <w:rPr>
                <w:rFonts w:ascii="Arial" w:hAnsi="Arial" w:eastAsia="Verdana" w:cs="Arial"/>
                <w:sz w:val="22"/>
                <w:szCs w:val="22"/>
                <w:lang w:val="pt-PT" w:eastAsia="en-US" w:bidi="ar-SA"/>
              </w:rPr>
            </w:pPr>
            <w:r>
              <w:rPr>
                <w:rFonts w:ascii="Arial" w:hAnsi="Arial" w:eastAsia="Verdana" w:cs="Arial"/>
                <w:b/>
                <w:bCs/>
                <w:sz w:val="22"/>
                <w:szCs w:val="22"/>
                <w:lang w:val="pt-PT" w:eastAsia="en-US" w:bidi="ar-SA"/>
              </w:rPr>
              <w:t>Programa de Trabalho</w:t>
            </w:r>
          </w:p>
        </w:tc>
        <w:tc>
          <w:tcPr>
            <w:tcW w:w="1200" w:type="dxa"/>
            <w:tcBorders>
              <w:right w:val="nil"/>
            </w:tcBorders>
            <w:shd w:val="clear" w:color="auto" w:fill="D0CECE"/>
            <w:vAlign w:val="center"/>
          </w:tcPr>
          <w:p w14:paraId="47E65DC8">
            <w:pPr>
              <w:pStyle w:val="19"/>
              <w:spacing w:line="276" w:lineRule="auto"/>
              <w:ind w:left="40"/>
              <w:jc w:val="center"/>
              <w:rPr>
                <w:rFonts w:ascii="Arial" w:hAnsi="Arial" w:eastAsia="Verdana" w:cs="Arial"/>
                <w:sz w:val="22"/>
                <w:szCs w:val="22"/>
                <w:lang w:val="pt-PT" w:eastAsia="en-US" w:bidi="ar-SA"/>
              </w:rPr>
            </w:pPr>
            <w:r>
              <w:rPr>
                <w:rFonts w:ascii="Arial" w:hAnsi="Arial" w:eastAsia="Verdana" w:cs="Arial"/>
                <w:b/>
                <w:bCs/>
                <w:sz w:val="22"/>
                <w:szCs w:val="22"/>
                <w:lang w:val="pt-PT" w:eastAsia="en-US" w:bidi="ar-SA"/>
              </w:rPr>
              <w:t>Fonte de Recurso</w:t>
            </w:r>
          </w:p>
        </w:tc>
        <w:tc>
          <w:tcPr>
            <w:tcW w:w="1408" w:type="dxa"/>
            <w:shd w:val="clear" w:color="auto" w:fill="D0CECE"/>
            <w:vAlign w:val="center"/>
          </w:tcPr>
          <w:p w14:paraId="6BA8A47C">
            <w:pPr>
              <w:pStyle w:val="19"/>
              <w:spacing w:line="276" w:lineRule="auto"/>
              <w:ind w:left="40"/>
              <w:jc w:val="center"/>
              <w:rPr>
                <w:rFonts w:ascii="Arial" w:hAnsi="Arial" w:eastAsia="Verdana" w:cs="Arial"/>
                <w:sz w:val="22"/>
                <w:szCs w:val="22"/>
                <w:lang w:val="pt-PT" w:eastAsia="en-US" w:bidi="ar-SA"/>
              </w:rPr>
            </w:pPr>
            <w:r>
              <w:rPr>
                <w:rFonts w:ascii="Arial" w:hAnsi="Arial" w:eastAsia="Verdana" w:cs="Arial"/>
                <w:b/>
                <w:bCs/>
                <w:sz w:val="22"/>
                <w:szCs w:val="22"/>
                <w:lang w:val="pt-PT" w:eastAsia="en-US" w:bidi="ar-SA"/>
              </w:rPr>
              <w:t>Natureza de Despesa</w:t>
            </w:r>
          </w:p>
        </w:tc>
      </w:tr>
      <w:tr w14:paraId="6998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3642" w:type="dxa"/>
            <w:vAlign w:val="center"/>
          </w:tcPr>
          <w:p w14:paraId="07C6099F">
            <w:pPr>
              <w:pStyle w:val="19"/>
              <w:ind w:left="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Hospital Municipal Raul Sertã</w:t>
            </w:r>
          </w:p>
        </w:tc>
        <w:tc>
          <w:tcPr>
            <w:tcW w:w="2940" w:type="dxa"/>
            <w:tcBorders>
              <w:right w:val="nil"/>
            </w:tcBorders>
            <w:vAlign w:val="center"/>
          </w:tcPr>
          <w:p w14:paraId="536BD527">
            <w:pPr>
              <w:pStyle w:val="19"/>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36001.10.302.1004.2.141</w:t>
            </w:r>
          </w:p>
        </w:tc>
        <w:tc>
          <w:tcPr>
            <w:tcW w:w="1200" w:type="dxa"/>
            <w:tcBorders>
              <w:right w:val="nil"/>
            </w:tcBorders>
            <w:vAlign w:val="center"/>
          </w:tcPr>
          <w:p w14:paraId="6ADD2271">
            <w:pPr>
              <w:pStyle w:val="19"/>
              <w:spacing w:line="276" w:lineRule="auto"/>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1600</w:t>
            </w:r>
          </w:p>
        </w:tc>
        <w:tc>
          <w:tcPr>
            <w:tcW w:w="1408" w:type="dxa"/>
            <w:vAlign w:val="center"/>
          </w:tcPr>
          <w:p w14:paraId="407F2AC2">
            <w:pPr>
              <w:pStyle w:val="19"/>
              <w:spacing w:line="276" w:lineRule="auto"/>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33.90.30.30</w:t>
            </w:r>
          </w:p>
        </w:tc>
      </w:tr>
    </w:tbl>
    <w:p w14:paraId="45CCBF82">
      <w:pPr>
        <w:spacing w:line="323" w:lineRule="atLeast"/>
        <w:ind w:left="0" w:leftChars="0" w:firstLine="0" w:firstLineChars="0"/>
        <w:jc w:val="both"/>
        <w:rPr>
          <w:rFonts w:hint="default" w:ascii="Arial" w:hAnsi="Arial" w:cs="Arial"/>
          <w:sz w:val="22"/>
          <w:szCs w:val="22"/>
          <w:lang w:val="pt-BR"/>
        </w:rPr>
      </w:pPr>
      <w:r>
        <w:rPr>
          <w:rFonts w:ascii="Arial" w:hAnsi="Arial" w:eastAsia="Verdana" w:cs="Arial"/>
          <w:sz w:val="22"/>
          <w:szCs w:val="22"/>
          <w:lang w:val="pt-PT" w:eastAsia="en-US" w:bidi="ar-SA"/>
        </w:rPr>
        <w:t>1</w:t>
      </w:r>
      <w:r>
        <w:rPr>
          <w:rFonts w:hint="default" w:ascii="Arial" w:hAnsi="Arial" w:cs="Arial"/>
          <w:sz w:val="22"/>
          <w:szCs w:val="22"/>
          <w:lang w:val="pt-BR" w:eastAsia="en-US" w:bidi="ar-SA"/>
        </w:rPr>
        <w:t>3</w:t>
      </w:r>
      <w:r>
        <w:rPr>
          <w:rFonts w:ascii="Arial" w:hAnsi="Arial" w:eastAsia="Verdana" w:cs="Arial"/>
          <w:sz w:val="22"/>
          <w:szCs w:val="22"/>
          <w:lang w:val="pt-PT" w:eastAsia="en-US" w:bidi="ar-SA"/>
        </w:rPr>
        <w:t>.3. A dotação relativa aos exercícios financeiros subsequentes será indicada após aprovação da Lei Orçamentária respectiva e liberação dos créditos correspondentes, mediante apostilamento.</w:t>
      </w:r>
    </w:p>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3C34E8E1">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00A10458">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03F2739F">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074A5C54">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9A5E52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0217FC09">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431F5E12">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06E54F0">
      <w:pPr>
        <w:spacing w:before="120" w:after="120" w:line="276" w:lineRule="auto"/>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2026.</w:t>
      </w:r>
    </w:p>
    <w:p w14:paraId="2C095078">
      <w:pPr>
        <w:spacing w:after="120"/>
        <w:jc w:val="center"/>
        <w:rPr>
          <w:rFonts w:ascii="Arial" w:hAnsi="Arial" w:cs="Arial"/>
          <w:bCs/>
        </w:rPr>
      </w:pP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102AB38A">
      <w:pPr>
        <w:spacing w:after="120"/>
        <w:jc w:val="both"/>
        <w:rPr>
          <w:rFonts w:ascii="Arial" w:hAnsi="Arial" w:cs="Arial"/>
        </w:rPr>
      </w:pP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1FDAB19">
      <w:pPr>
        <w:spacing w:after="120"/>
        <w:jc w:val="both"/>
        <w:rPr>
          <w:rFonts w:ascii="Arial" w:hAnsi="Arial" w:cs="Arial"/>
        </w:rPr>
      </w:pPr>
      <w:r>
        <w:rPr>
          <w:rFonts w:ascii="Arial" w:hAnsi="Arial" w:cs="Arial"/>
        </w:rPr>
        <w:t>2-</w:t>
      </w:r>
    </w:p>
    <w:p w14:paraId="532382A8">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435CF93D">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54C62DEB">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389BFA5">
    <w:pPr>
      <w:pStyle w:val="15"/>
      <w:jc w:val="center"/>
      <w:rPr>
        <w:rFonts w:ascii="Arial" w:hAnsi="Arial" w:cs="Arial"/>
        <w:color w:val="000000"/>
        <w:sz w:val="18"/>
        <w:szCs w:val="18"/>
      </w:rPr>
    </w:pPr>
    <w:r>
      <w:rPr>
        <w:rFonts w:ascii="Arial" w:hAnsi="Arial" w:cs="Arial"/>
        <w:color w:val="000000"/>
        <w:sz w:val="18"/>
        <w:szCs w:val="18"/>
      </w:rPr>
      <w:t>(22) 2525-9101</w:t>
    </w:r>
  </w:p>
  <w:p w14:paraId="51BD31BF">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4AB4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EF25">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left="-223" w:leftChars="-199" w:hanging="215" w:hangingChars="77"/>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94CD">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7B4F">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7A27794"/>
    <w:rsid w:val="0D42705A"/>
    <w:rsid w:val="0FFE3E0A"/>
    <w:rsid w:val="10BD5AC4"/>
    <w:rsid w:val="11CC2ACE"/>
    <w:rsid w:val="180B37D5"/>
    <w:rsid w:val="1AF72D93"/>
    <w:rsid w:val="1C243C3B"/>
    <w:rsid w:val="1D4F7EA6"/>
    <w:rsid w:val="1EE94DBF"/>
    <w:rsid w:val="1FD12E07"/>
    <w:rsid w:val="24F2052C"/>
    <w:rsid w:val="29283114"/>
    <w:rsid w:val="2AAF600B"/>
    <w:rsid w:val="2B102FB5"/>
    <w:rsid w:val="2B8D51FE"/>
    <w:rsid w:val="2C1602E4"/>
    <w:rsid w:val="2E893EAC"/>
    <w:rsid w:val="321B43C1"/>
    <w:rsid w:val="3C4D19A5"/>
    <w:rsid w:val="3C9967A2"/>
    <w:rsid w:val="3D361311"/>
    <w:rsid w:val="43770B04"/>
    <w:rsid w:val="43FC4A12"/>
    <w:rsid w:val="471B07F7"/>
    <w:rsid w:val="482E7CFA"/>
    <w:rsid w:val="501F24D5"/>
    <w:rsid w:val="5A356D9C"/>
    <w:rsid w:val="5C237373"/>
    <w:rsid w:val="600745F5"/>
    <w:rsid w:val="623C6820"/>
    <w:rsid w:val="655965EF"/>
    <w:rsid w:val="68532C20"/>
    <w:rsid w:val="6B526D8E"/>
    <w:rsid w:val="6C942D92"/>
    <w:rsid w:val="749B1192"/>
    <w:rsid w:val="76564134"/>
    <w:rsid w:val="77B2358A"/>
    <w:rsid w:val="7AA51085"/>
    <w:rsid w:val="7DEF707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locked/>
    <w:uiPriority w:val="0"/>
    <w:rPr>
      <w:rFonts w:ascii="Arial" w:hAnsi="Arial" w:cs="Arial" w:eastAsiaTheme="minorEastAsia"/>
      <w:color w:val="000000"/>
    </w:rPr>
  </w:style>
  <w:style w:type="character" w:customStyle="1" w:styleId="55">
    <w:name w:val="Parágrafo da Lista Char"/>
    <w:basedOn w:val="5"/>
    <w:link w:val="19"/>
    <w:uiPriority w:val="34"/>
    <w:rPr>
      <w:rFonts w:ascii="Verdana" w:hAnsi="Verdana" w:eastAsia="Verdana" w:cs="Verdana"/>
      <w:sz w:val="22"/>
      <w:szCs w:val="22"/>
      <w:lang w:val="pt-PT" w:eastAsia="en-US"/>
    </w:rPr>
  </w:style>
  <w:style w:type="character" w:customStyle="1" w:styleId="56">
    <w:name w:val="Nivel 3 Char"/>
    <w:basedOn w:val="5"/>
    <w:link w:val="46"/>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14</Pages>
  <Words>5363</Words>
  <Characters>28963</Characters>
  <Lines>241</Lines>
  <Paragraphs>68</Paragraphs>
  <TotalTime>10</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mariana.topini</cp:lastModifiedBy>
  <cp:lastPrinted>2023-08-22T17:19:00Z</cp:lastPrinted>
  <dcterms:modified xsi:type="dcterms:W3CDTF">2026-04-07T18:36:13Z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AA5E36BE2C9D4DA8923CD79FAA21EA6C_12</vt:lpwstr>
  </property>
</Properties>
</file>